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036501B3" w:rsidR="00F46C0A" w:rsidRPr="00BC52CE" w:rsidRDefault="000162D2" w:rsidP="00F46C0A">
      <w:pPr>
        <w:jc w:val="center"/>
        <w:rPr>
          <w:rFonts w:asciiTheme="minorHAnsi" w:hAnsiTheme="minorHAnsi" w:cstheme="minorHAnsi"/>
          <w:b/>
        </w:rPr>
      </w:pPr>
      <w:r>
        <w:rPr>
          <w:rFonts w:asciiTheme="minorHAnsi" w:hAnsiTheme="minorHAnsi" w:cstheme="minorHAnsi"/>
        </w:rPr>
        <w:t>Tuesday</w:t>
      </w:r>
      <w:r w:rsidR="00FB02A3">
        <w:rPr>
          <w:rFonts w:asciiTheme="minorHAnsi" w:hAnsiTheme="minorHAnsi" w:cstheme="minorHAnsi"/>
        </w:rPr>
        <w:t>, October 1</w:t>
      </w:r>
      <w:r>
        <w:rPr>
          <w:rFonts w:asciiTheme="minorHAnsi" w:hAnsiTheme="minorHAnsi" w:cstheme="minorHAnsi"/>
        </w:rPr>
        <w:t>7</w:t>
      </w:r>
      <w:r w:rsidR="00FB02A3">
        <w:rPr>
          <w:rFonts w:asciiTheme="minorHAnsi" w:hAnsiTheme="minorHAnsi" w:cstheme="minorHAnsi"/>
        </w:rPr>
        <w:t>, 2017</w:t>
      </w:r>
    </w:p>
    <w:p w14:paraId="01FC717D" w14:textId="1EC5614F" w:rsidR="00F46C0A" w:rsidRPr="00BC52CE" w:rsidRDefault="00560D80" w:rsidP="00F46C0A">
      <w:pPr>
        <w:jc w:val="center"/>
        <w:rPr>
          <w:rFonts w:asciiTheme="minorHAnsi" w:hAnsiTheme="minorHAnsi" w:cstheme="minorHAnsi"/>
        </w:rPr>
      </w:pPr>
      <w:r>
        <w:rPr>
          <w:rFonts w:asciiTheme="minorHAnsi" w:hAnsiTheme="minorHAnsi" w:cstheme="minorHAnsi"/>
        </w:rPr>
        <w:t xml:space="preserve">4:15 </w:t>
      </w:r>
      <w:r w:rsidR="000162D2">
        <w:rPr>
          <w:rFonts w:asciiTheme="minorHAnsi" w:hAnsiTheme="minorHAnsi" w:cstheme="minorHAnsi"/>
        </w:rPr>
        <w:t xml:space="preserve">– </w:t>
      </w:r>
      <w:r>
        <w:rPr>
          <w:rFonts w:asciiTheme="minorHAnsi" w:hAnsiTheme="minorHAnsi" w:cstheme="minorHAnsi"/>
        </w:rPr>
        <w:t>5</w:t>
      </w:r>
      <w:r w:rsidR="000162D2">
        <w:rPr>
          <w:rFonts w:asciiTheme="minorHAnsi" w:hAnsiTheme="minorHAnsi" w:cstheme="minorHAnsi"/>
        </w:rPr>
        <w:t>:</w:t>
      </w:r>
      <w:r>
        <w:rPr>
          <w:rFonts w:asciiTheme="minorHAnsi" w:hAnsiTheme="minorHAnsi" w:cstheme="minorHAnsi"/>
        </w:rPr>
        <w:t>45</w:t>
      </w:r>
      <w:r w:rsidR="00B1516E">
        <w:rPr>
          <w:rFonts w:asciiTheme="minorHAnsi" w:hAnsiTheme="minorHAnsi" w:cstheme="minorHAnsi"/>
        </w:rPr>
        <w:t xml:space="preserve"> p</w:t>
      </w:r>
      <w:r w:rsidR="00FB02A3">
        <w:rPr>
          <w:rFonts w:asciiTheme="minorHAnsi" w:hAnsiTheme="minorHAnsi" w:cstheme="minorHAnsi"/>
        </w:rPr>
        <w:t>m</w:t>
      </w:r>
    </w:p>
    <w:p w14:paraId="7AA9C295" w14:textId="77777777" w:rsidR="00684B82" w:rsidRPr="00CB3067" w:rsidRDefault="00FB02A3" w:rsidP="00684B82">
      <w:pPr>
        <w:jc w:val="center"/>
        <w:rPr>
          <w:rFonts w:asciiTheme="minorHAnsi" w:hAnsiTheme="minorHAnsi" w:cstheme="minorHAnsi"/>
          <w:b/>
          <w:sz w:val="40"/>
          <w:szCs w:val="40"/>
        </w:rPr>
      </w:pPr>
      <w:bookmarkStart w:id="0" w:name="OLE_LINK1"/>
      <w:bookmarkStart w:id="1" w:name="OLE_LINK2"/>
      <w:r w:rsidRPr="00CB3067">
        <w:rPr>
          <w:rFonts w:asciiTheme="minorHAnsi" w:hAnsiTheme="minorHAnsi" w:cstheme="minorHAnsi"/>
        </w:rPr>
        <w:t>Gaylord Palms Resort &amp; Convention Center</w:t>
      </w:r>
      <w:r w:rsidR="00F46C0A" w:rsidRPr="00CB3067">
        <w:rPr>
          <w:rFonts w:asciiTheme="minorHAnsi" w:hAnsiTheme="minorHAnsi" w:cstheme="minorHAnsi"/>
        </w:rPr>
        <w:t xml:space="preserve"> </w:t>
      </w:r>
      <w:r w:rsidR="00F46C0A" w:rsidRPr="00CB3067">
        <w:rPr>
          <w:rFonts w:asciiTheme="minorHAnsi" w:hAnsiTheme="minorHAnsi" w:cstheme="minorHAnsi"/>
        </w:rPr>
        <w:br/>
      </w:r>
      <w:bookmarkEnd w:id="0"/>
      <w:bookmarkEnd w:id="1"/>
    </w:p>
    <w:p w14:paraId="7DD760BB" w14:textId="67AA5824" w:rsidR="00F46C0A" w:rsidRPr="00CB3067"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60288"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4D1F97E0" w14:textId="51D59EEC" w:rsidR="000801F9" w:rsidRDefault="00560D80"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A Roadmap to Working With Prescribers: Turning Theory Into Practice</w:t>
                            </w:r>
                          </w:p>
                          <w:p w14:paraId="31A3CB69" w14:textId="02181F15" w:rsidR="00363570"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Amina Abubakar, PharmD, AAHIVP, Rx Clinic Pharmacy</w:t>
                            </w:r>
                          </w:p>
                          <w:p w14:paraId="726D2B03" w14:textId="1CC31BE1" w:rsidR="00B82064" w:rsidRPr="00B1516E"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Olivia Bentley, </w:t>
                            </w:r>
                            <w:r w:rsidR="00754256">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PharmD, </w:t>
                            </w: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Rx Clinic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4D1F97E0" w14:textId="51D59EEC" w:rsidR="000801F9" w:rsidRDefault="00560D80"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A Roadmap to Working With Prescribers: Turning Theory Into Practice</w:t>
                      </w:r>
                    </w:p>
                    <w:p w14:paraId="31A3CB69" w14:textId="02181F15" w:rsidR="00363570"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Amina Abubakar, PharmD, AAHIVP, Rx Clinic Pharmacy</w:t>
                      </w:r>
                    </w:p>
                    <w:p w14:paraId="726D2B03" w14:textId="1CC31BE1" w:rsidR="00B82064" w:rsidRPr="00B1516E"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Olivia Bentley, </w:t>
                      </w:r>
                      <w:r w:rsidR="00754256">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PharmD, </w:t>
                      </w: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Rx Clinic Pharmacy</w:t>
                      </w:r>
                    </w:p>
                  </w:txbxContent>
                </v:textbox>
                <w10:wrap type="square" anchorx="page"/>
              </v:shape>
            </w:pict>
          </mc:Fallback>
        </mc:AlternateContent>
      </w:r>
      <w:r w:rsidR="00F46C0A" w:rsidRPr="00CB3067">
        <w:rPr>
          <w:rFonts w:asciiTheme="minorHAnsi" w:hAnsiTheme="minorHAnsi" w:cstheme="minorHAnsi"/>
          <w:b/>
          <w:sz w:val="48"/>
          <w:szCs w:val="48"/>
        </w:rPr>
        <w:t>Implementation</w:t>
      </w:r>
      <w:r w:rsidR="00F46C0A" w:rsidRPr="00CB3067">
        <w:rPr>
          <w:rFonts w:asciiTheme="minorHAnsi" w:hAnsiTheme="minorHAnsi" w:cstheme="minorHAnsi"/>
          <w:b/>
          <w:sz w:val="40"/>
          <w:szCs w:val="40"/>
        </w:rPr>
        <w:t xml:space="preserve"> </w:t>
      </w:r>
      <w:r w:rsidR="00F46C0A" w:rsidRPr="00CB3067">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208B32A9" w14:textId="77777777" w:rsidR="00560D80" w:rsidRPr="00560D80" w:rsidRDefault="00560D80" w:rsidP="00560D80">
      <w:pPr>
        <w:numPr>
          <w:ilvl w:val="0"/>
          <w:numId w:val="15"/>
        </w:numPr>
        <w:rPr>
          <w:rFonts w:asciiTheme="minorHAnsi" w:hAnsiTheme="minorHAnsi" w:cstheme="minorHAnsi"/>
          <w:sz w:val="22"/>
          <w:szCs w:val="22"/>
        </w:rPr>
      </w:pPr>
      <w:r w:rsidRPr="00560D80">
        <w:rPr>
          <w:rFonts w:asciiTheme="minorHAnsi" w:hAnsiTheme="minorHAnsi" w:cstheme="minorHAnsi"/>
          <w:sz w:val="22"/>
          <w:szCs w:val="22"/>
        </w:rPr>
        <w:t xml:space="preserve">Devise a plan to increase revenue by turning your med sync program into a chronic care management program. </w:t>
      </w:r>
    </w:p>
    <w:p w14:paraId="17233B37" w14:textId="77777777" w:rsidR="00560D80" w:rsidRPr="00560D80" w:rsidRDefault="00560D80" w:rsidP="00560D80">
      <w:pPr>
        <w:numPr>
          <w:ilvl w:val="0"/>
          <w:numId w:val="15"/>
        </w:numPr>
        <w:rPr>
          <w:rFonts w:asciiTheme="minorHAnsi" w:hAnsiTheme="minorHAnsi" w:cstheme="minorHAnsi"/>
          <w:sz w:val="22"/>
          <w:szCs w:val="22"/>
        </w:rPr>
      </w:pPr>
      <w:r w:rsidRPr="00560D80">
        <w:rPr>
          <w:rFonts w:asciiTheme="minorHAnsi" w:hAnsiTheme="minorHAnsi" w:cstheme="minorHAnsi"/>
          <w:sz w:val="22"/>
          <w:szCs w:val="22"/>
        </w:rPr>
        <w:t xml:space="preserve">Describe the workflow for enhanced services, focusing on the role of pharmacy technicians and clerical staff in enhanced services. </w:t>
      </w:r>
    </w:p>
    <w:p w14:paraId="3DA35AD6" w14:textId="77777777" w:rsidR="00560D80" w:rsidRPr="00560D80" w:rsidRDefault="00560D80" w:rsidP="00560D80">
      <w:pPr>
        <w:numPr>
          <w:ilvl w:val="0"/>
          <w:numId w:val="15"/>
        </w:numPr>
        <w:rPr>
          <w:rFonts w:asciiTheme="minorHAnsi" w:hAnsiTheme="minorHAnsi" w:cstheme="minorHAnsi"/>
          <w:sz w:val="22"/>
          <w:szCs w:val="22"/>
        </w:rPr>
      </w:pPr>
      <w:r w:rsidRPr="00560D80">
        <w:rPr>
          <w:rFonts w:asciiTheme="minorHAnsi" w:hAnsiTheme="minorHAnsi" w:cstheme="minorHAnsi"/>
          <w:sz w:val="22"/>
          <w:szCs w:val="22"/>
        </w:rPr>
        <w:t xml:space="preserve">Establish a pharmacist-led clinic for acute care and annual wellness visits inside a medical practice. </w:t>
      </w:r>
    </w:p>
    <w:p w14:paraId="27E2FD13" w14:textId="77777777" w:rsidR="000162D2" w:rsidRDefault="000162D2" w:rsidP="00691214">
      <w:pPr>
        <w:ind w:left="1152" w:right="1152"/>
        <w:jc w:val="center"/>
        <w:rPr>
          <w:rFonts w:ascii="Calibri" w:hAnsi="Calibri"/>
          <w:b/>
          <w:iCs/>
          <w:sz w:val="22"/>
        </w:rPr>
      </w:pPr>
    </w:p>
    <w:p w14:paraId="17E4AE32" w14:textId="1429EFD8"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192874" w:rsidRDefault="00F46C0A" w:rsidP="00F46C0A">
      <w:pPr>
        <w:ind w:left="1152" w:right="1152"/>
        <w:rPr>
          <w:rFonts w:ascii="Calibri" w:hAnsi="Calibri"/>
          <w:b/>
          <w:sz w:val="22"/>
        </w:rPr>
      </w:pPr>
      <w:r w:rsidRPr="00192874">
        <w:rPr>
          <w:rFonts w:ascii="Calibri" w:hAnsi="Calibri"/>
          <w:b/>
          <w:sz w:val="22"/>
        </w:rPr>
        <w:t>Disclosures:</w:t>
      </w:r>
    </w:p>
    <w:p w14:paraId="2A14AFA6" w14:textId="24341F0C" w:rsidR="000162D2" w:rsidRPr="00F46C0A" w:rsidRDefault="00B82064" w:rsidP="000162D2">
      <w:pPr>
        <w:ind w:left="1152" w:right="1152"/>
        <w:rPr>
          <w:rFonts w:ascii="Calibri" w:hAnsi="Calibri"/>
          <w:sz w:val="22"/>
        </w:rPr>
      </w:pPr>
      <w:r>
        <w:rPr>
          <w:rFonts w:ascii="Calibri" w:hAnsi="Calibri"/>
          <w:sz w:val="22"/>
        </w:rPr>
        <w:t xml:space="preserve">Amina Abubakar </w:t>
      </w:r>
      <w:r w:rsidR="000162D2" w:rsidRPr="00F46C0A">
        <w:rPr>
          <w:rFonts w:ascii="Calibri" w:hAnsi="Calibri"/>
          <w:sz w:val="22"/>
        </w:rPr>
        <w:t>declares no conflicts of interest or financial interest in any product or service mentioned in this program, including grants, employment, gifts, stock holdings, and honoraria.</w:t>
      </w:r>
    </w:p>
    <w:p w14:paraId="689FC1A3" w14:textId="14FAEA83" w:rsidR="00B82064" w:rsidRDefault="00B82064" w:rsidP="00B82064">
      <w:pPr>
        <w:ind w:right="1152"/>
        <w:rPr>
          <w:rFonts w:ascii="Calibri" w:hAnsi="Calibri"/>
          <w:sz w:val="22"/>
        </w:rPr>
      </w:pPr>
    </w:p>
    <w:p w14:paraId="06A5F09E" w14:textId="3409D933" w:rsidR="00B82064" w:rsidRPr="00F46C0A" w:rsidRDefault="00B82064" w:rsidP="00B82064">
      <w:pPr>
        <w:ind w:left="1152" w:right="1152"/>
        <w:rPr>
          <w:rFonts w:ascii="Calibri" w:hAnsi="Calibri"/>
          <w:sz w:val="22"/>
        </w:rPr>
      </w:pPr>
      <w:r>
        <w:rPr>
          <w:rFonts w:ascii="Calibri" w:hAnsi="Calibri"/>
          <w:sz w:val="22"/>
        </w:rPr>
        <w:t xml:space="preserve">Olivia Bentley </w:t>
      </w:r>
      <w:r w:rsidRPr="00F46C0A">
        <w:rPr>
          <w:rFonts w:ascii="Calibri" w:hAnsi="Calibri"/>
          <w:sz w:val="22"/>
        </w:rPr>
        <w:t>declares no conflicts of interest or financial interest in any product or service mentioned in this program, including grants, employment, gifts, stock holdings, and honoraria.</w:t>
      </w:r>
    </w:p>
    <w:p w14:paraId="2A3BA511" w14:textId="77777777" w:rsidR="00B82064" w:rsidRDefault="00B82064" w:rsidP="00F46C0A">
      <w:pPr>
        <w:ind w:left="1152" w:right="1152"/>
        <w:rPr>
          <w:rFonts w:ascii="Calibri" w:hAnsi="Calibri"/>
          <w:sz w:val="22"/>
        </w:rPr>
      </w:pPr>
    </w:p>
    <w:p w14:paraId="6057A06A" w14:textId="0962B162"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1A439"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AABD914" w:rsidR="00F46C0A" w:rsidRPr="00F46C0A" w:rsidRDefault="00F46C0A" w:rsidP="00F46C0A">
      <w:pPr>
        <w:rPr>
          <w:rFonts w:ascii="Calibri" w:hAnsi="Calibri"/>
          <w:sz w:val="22"/>
        </w:rPr>
      </w:pPr>
    </w:p>
    <w:p w14:paraId="3F8ED956" w14:textId="3A8F6E92" w:rsidR="00F46C0A" w:rsidRPr="00F46C0A" w:rsidRDefault="00CB3067"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61F8DA1B">
                <wp:simplePos x="0" y="0"/>
                <wp:positionH relativeFrom="page">
                  <wp:posOffset>1133475</wp:posOffset>
                </wp:positionH>
                <wp:positionV relativeFrom="paragraph">
                  <wp:posOffset>12700</wp:posOffset>
                </wp:positionV>
                <wp:extent cx="5487035" cy="51822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1822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pt;width:432.05pt;height:40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1FF7C6A6" w:rsidR="00F46C0A" w:rsidRPr="00F46C0A" w:rsidRDefault="00CB3067"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5B854B71">
                <wp:simplePos x="0" y="0"/>
                <wp:positionH relativeFrom="margin">
                  <wp:posOffset>695325</wp:posOffset>
                </wp:positionH>
                <wp:positionV relativeFrom="paragraph">
                  <wp:posOffset>109220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AED3B"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8.6pt" to="48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" strokecolor="black [3213]" strokeweight=".5pt">
                <v:stroke joinstyle="miter"/>
                <w10:wrap anchorx="margin"/>
              </v:line>
            </w:pict>
          </mc:Fallback>
        </mc:AlternateContent>
      </w:r>
    </w:p>
    <w:p w14:paraId="363964E3" w14:textId="50A9DFB3" w:rsidR="00F46C0A" w:rsidRPr="00F46C0A" w:rsidRDefault="00F46C0A" w:rsidP="00F46C0A">
      <w:pPr>
        <w:rPr>
          <w:rFonts w:ascii="Calibri" w:hAnsi="Calibri"/>
          <w:sz w:val="22"/>
        </w:rPr>
      </w:pPr>
    </w:p>
    <w:p w14:paraId="7C9ADBA7" w14:textId="25DBABD5"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2769C"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31C49"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bookmarkStart w:id="2" w:name="_GoBack"/>
      <w:bookmarkEnd w:id="2"/>
      <w:r>
        <w:rPr>
          <w:rFonts w:ascii="Calibri" w:hAnsi="Calibri"/>
          <w:sz w:val="22"/>
        </w:rPr>
        <w:br w:type="page"/>
      </w:r>
    </w:p>
    <w:p w14:paraId="6C0EB4C1" w14:textId="6CBDE8EE" w:rsidR="0016086B" w:rsidRPr="0016086B" w:rsidRDefault="0016086B" w:rsidP="00F46C0A">
      <w:pPr>
        <w:rPr>
          <w:rFonts w:ascii="Calibri" w:hAnsi="Calibri"/>
          <w:b/>
        </w:rPr>
      </w:pPr>
      <w:r w:rsidRPr="0016086B">
        <w:rPr>
          <w:rFonts w:ascii="Calibri" w:hAnsi="Calibri"/>
          <w:b/>
        </w:rPr>
        <w:lastRenderedPageBreak/>
        <w:t>Speaker Bio:</w:t>
      </w:r>
    </w:p>
    <w:p w14:paraId="1390DCED" w14:textId="77777777" w:rsidR="0016086B" w:rsidRPr="00807DA9" w:rsidRDefault="0016086B" w:rsidP="00F46C0A">
      <w:pPr>
        <w:rPr>
          <w:rFonts w:asciiTheme="minorHAnsi" w:hAnsiTheme="minorHAnsi" w:cstheme="minorHAnsi"/>
          <w:sz w:val="22"/>
          <w:szCs w:val="22"/>
        </w:rPr>
      </w:pPr>
    </w:p>
    <w:p w14:paraId="021647D7" w14:textId="0FAE4ACD" w:rsidR="00754256"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b/>
          <w:color w:val="000000"/>
          <w:sz w:val="22"/>
          <w:szCs w:val="22"/>
        </w:rPr>
        <w:t>Amina Abubakar</w:t>
      </w:r>
      <w:r w:rsidRPr="00754256">
        <w:rPr>
          <w:rFonts w:asciiTheme="minorHAnsi" w:hAnsiTheme="minorHAnsi" w:cstheme="minorHAnsi"/>
          <w:color w:val="000000"/>
          <w:sz w:val="22"/>
          <w:szCs w:val="22"/>
        </w:rPr>
        <w:t>, PharmD, AAHIVP, graduated from the Philadelphia College of Pharmacy University of the Sciences in 2005.  She owns Rx Clinic Pharmacy in Charlotte, NC. is the founder and President of the Avant Institute of Clinical Pharmacy, where her passion for furthering the impact and success of clinical pharmacy services is realized through online learning, webinars and consultations with pharmacies across the United States.</w:t>
      </w:r>
    </w:p>
    <w:p w14:paraId="35059AE1" w14:textId="77777777" w:rsidR="00754256" w:rsidRPr="00754256" w:rsidRDefault="00754256" w:rsidP="00754256">
      <w:pPr>
        <w:rPr>
          <w:rFonts w:asciiTheme="minorHAnsi" w:hAnsiTheme="minorHAnsi" w:cstheme="minorHAnsi"/>
          <w:color w:val="000000"/>
          <w:sz w:val="22"/>
          <w:szCs w:val="22"/>
        </w:rPr>
      </w:pPr>
    </w:p>
    <w:p w14:paraId="14D2AF9A" w14:textId="77777777" w:rsidR="00754256"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color w:val="000000"/>
          <w:sz w:val="22"/>
          <w:szCs w:val="22"/>
        </w:rPr>
        <w:t>Amina is a clinical pharmacist, Certified HIV Specialty Pharmacist, and a preceptor to UNC Chapel Hill residents and students from several schools of pharmacy. She has expanded pharmacist led clinical services in her community through her collaboration with medical providers and has fostered an environment that showcases the significance and impact of patient care of community pharmacists.</w:t>
      </w:r>
    </w:p>
    <w:p w14:paraId="3F750E2E" w14:textId="77777777" w:rsidR="00754256" w:rsidRPr="00754256" w:rsidRDefault="00754256" w:rsidP="00754256">
      <w:pPr>
        <w:rPr>
          <w:rFonts w:asciiTheme="minorHAnsi" w:hAnsiTheme="minorHAnsi" w:cstheme="minorHAnsi"/>
          <w:color w:val="000000"/>
          <w:sz w:val="22"/>
          <w:szCs w:val="22"/>
        </w:rPr>
      </w:pPr>
    </w:p>
    <w:p w14:paraId="7920D939" w14:textId="71A76FB3" w:rsidR="00754256"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color w:val="000000"/>
          <w:sz w:val="22"/>
          <w:szCs w:val="22"/>
        </w:rPr>
        <w:t>Amina is on the board of the Pharmacogenetics Center of Excellence, a non-profit dedicated to advocacy for the profession of pharmacy in pharmacogenetics.</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also serves as a Luminary for CPESN USA, to facilitate the advancement of CPESN networks.</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Currently, she shares her passion for pharmacy advancements with pharmacists, patients and policy makers all over the country through Pharmacogenomics. She was invited to the White House Office of Science and Technology Policy and to the FDA to discuss the role of pharmacists in pharmacogenomics.</w:t>
      </w:r>
    </w:p>
    <w:p w14:paraId="636D82C5" w14:textId="77777777" w:rsidR="00754256" w:rsidRPr="00754256" w:rsidRDefault="00754256" w:rsidP="00754256">
      <w:pPr>
        <w:rPr>
          <w:rFonts w:asciiTheme="minorHAnsi" w:hAnsiTheme="minorHAnsi" w:cstheme="minorHAnsi"/>
          <w:color w:val="000000"/>
          <w:sz w:val="22"/>
          <w:szCs w:val="22"/>
        </w:rPr>
      </w:pPr>
    </w:p>
    <w:p w14:paraId="53C215E3" w14:textId="7C3A4B73" w:rsidR="0016086B"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b/>
          <w:color w:val="000000"/>
          <w:sz w:val="22"/>
          <w:szCs w:val="22"/>
        </w:rPr>
        <w:t>Olivia Bentley</w:t>
      </w:r>
      <w:r w:rsidRPr="00754256">
        <w:rPr>
          <w:rFonts w:asciiTheme="minorHAnsi" w:hAnsiTheme="minorHAnsi" w:cstheme="minorHAnsi"/>
          <w:color w:val="000000"/>
          <w:sz w:val="22"/>
          <w:szCs w:val="22"/>
        </w:rPr>
        <w:t xml:space="preserve">, PharmD, CFts, AAHIVP, is the Director of Ambulatory Care Services at Rx Clinic Pharmacy where she co-developed and implemented a variety of non-dispensing, cognitive-based clinical services in an independent community pharmacy.  Through physician collaboration, she leads a team of clinical community pharmacists in providing Medicare annual wellness visits, chronic care management, ​transitions of care management, other preventative care service codes, and a pharmacist-led urgent care clinic. </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is a Clinical Pharmacist for the Pharmacogenetics Center of Excellence where she provides personalized medication reviews for patients and trains pharmacists to do the same.  Dr. Bentley is also currently serving as Vice President for the Avant Institute of Clinical Pharmacy​, an online advance training program for clinical services beyond dispensing​.</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received her Doctorate of Pharmacy from South University School of Pharmacy in Savannah in 2012 and completed a PGY1 Community Residency Program at the University of Georgia with Village Drug Shop in Athens, GA in 2013.</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​Dr. Bentley is a Board Certified HIV Pharmacist.  She is also experienced as a Certified BHRT pharmacist, Therapeutic Shoe Fitter for patients with diabetes and Certified in Pharmacogenetics and Precision Medicine.</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currently serves the profession of pharmacy on the North Carolina Association of Pharmacists (NCAP) as the Chair of the New Practitioner Network and remains active in many local, state and national professional organizations such as NCPA, APhA and Kappa Psi Pharmaceutical Fraternity.</w:t>
      </w:r>
    </w:p>
    <w:sectPr w:rsidR="0016086B" w:rsidRPr="00754256"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171E9331"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w:t>
    </w:r>
    <w:r w:rsidR="00807DA9">
      <w:rPr>
        <w:rFonts w:asciiTheme="minorHAnsi" w:hAnsiTheme="minorHAnsi" w:cstheme="minorHAnsi"/>
        <w:sz w:val="20"/>
        <w:szCs w:val="20"/>
      </w:rPr>
      <w:t>5</w:t>
    </w:r>
    <w:r w:rsidRPr="00691214">
      <w:rPr>
        <w:rFonts w:asciiTheme="minorHAnsi" w:hAnsiTheme="minorHAnsi" w:cstheme="minorHAnsi"/>
        <w:sz w:val="20"/>
        <w:szCs w:val="20"/>
      </w:rPr>
      <w:t xml:space="preserve"> contact hours (0.1</w:t>
    </w:r>
    <w:r w:rsidR="00807DA9">
      <w:rPr>
        <w:rFonts w:asciiTheme="minorHAnsi" w:hAnsiTheme="minorHAnsi" w:cstheme="minorHAnsi"/>
        <w:sz w:val="20"/>
        <w:szCs w:val="20"/>
      </w:rPr>
      <w:t>5</w:t>
    </w:r>
    <w:r w:rsidRPr="00691214">
      <w:rPr>
        <w:rFonts w:asciiTheme="minorHAnsi" w:hAnsiTheme="minorHAnsi" w:cstheme="minorHAnsi"/>
        <w:sz w:val="20"/>
        <w:szCs w:val="20"/>
      </w:rPr>
      <w:t xml:space="preserve"> CEUs) of continuing education credit. ACPE UAN: 0207-0000-17-</w:t>
    </w:r>
    <w:r w:rsidR="000801F9">
      <w:rPr>
        <w:rFonts w:asciiTheme="minorHAnsi" w:hAnsiTheme="minorHAnsi" w:cstheme="minorHAnsi"/>
        <w:sz w:val="20"/>
        <w:szCs w:val="20"/>
      </w:rPr>
      <w:t>22</w:t>
    </w:r>
    <w:r w:rsidR="00560D80">
      <w:rPr>
        <w:rFonts w:asciiTheme="minorHAnsi" w:hAnsiTheme="minorHAnsi" w:cstheme="minorHAnsi"/>
        <w:sz w:val="20"/>
        <w:szCs w:val="20"/>
      </w:rPr>
      <w:t>9</w:t>
    </w:r>
    <w:r w:rsidRPr="00691214">
      <w:rPr>
        <w:rFonts w:asciiTheme="minorHAnsi" w:hAnsiTheme="minorHAnsi" w:cstheme="minorHAnsi"/>
        <w:sz w:val="20"/>
        <w:szCs w:val="20"/>
      </w:rPr>
      <w:t>-L0</w:t>
    </w:r>
    <w:r w:rsidR="00807DA9">
      <w:rPr>
        <w:rFonts w:asciiTheme="minorHAnsi" w:hAnsiTheme="minorHAnsi" w:cstheme="minorHAnsi"/>
        <w:sz w:val="20"/>
        <w:szCs w:val="20"/>
      </w:rPr>
      <w:t>4</w:t>
    </w:r>
    <w:r w:rsidRPr="00691214">
      <w:rPr>
        <w:rFonts w:asciiTheme="minorHAnsi" w:hAnsiTheme="minorHAnsi" w:cstheme="minorHAnsi"/>
        <w:sz w:val="20"/>
        <w:szCs w:val="20"/>
      </w:rPr>
      <w:t>-P and 0207-0000-17-</w:t>
    </w:r>
    <w:r w:rsidR="000801F9">
      <w:rPr>
        <w:rFonts w:asciiTheme="minorHAnsi" w:hAnsiTheme="minorHAnsi" w:cstheme="minorHAnsi"/>
        <w:sz w:val="20"/>
        <w:szCs w:val="20"/>
      </w:rPr>
      <w:t>22</w:t>
    </w:r>
    <w:r w:rsidR="00560D80">
      <w:rPr>
        <w:rFonts w:asciiTheme="minorHAnsi" w:hAnsiTheme="minorHAnsi" w:cstheme="minorHAnsi"/>
        <w:sz w:val="20"/>
        <w:szCs w:val="20"/>
      </w:rPr>
      <w:t>9</w:t>
    </w:r>
    <w:r w:rsidRPr="00691214">
      <w:rPr>
        <w:rFonts w:asciiTheme="minorHAnsi" w:hAnsiTheme="minorHAnsi" w:cstheme="minorHAnsi"/>
        <w:sz w:val="20"/>
        <w:szCs w:val="20"/>
      </w:rPr>
      <w:t>-L0</w:t>
    </w:r>
    <w:r w:rsidR="00807DA9">
      <w:rPr>
        <w:rFonts w:asciiTheme="minorHAnsi" w:hAnsiTheme="minorHAnsi" w:cstheme="minorHAnsi"/>
        <w:sz w:val="20"/>
        <w:szCs w:val="20"/>
      </w:rPr>
      <w:t>4</w:t>
    </w:r>
    <w:r w:rsidRPr="00691214">
      <w:rPr>
        <w:rFonts w:asciiTheme="minorHAnsi" w:hAnsiTheme="minorHAnsi" w:cstheme="minorHAnsi"/>
        <w:sz w:val="20"/>
        <w:szCs w:val="20"/>
      </w:rPr>
      <w:t>-T.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F1"/>
    <w:multiLevelType w:val="hybridMultilevel"/>
    <w:tmpl w:val="33640DE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CFF53B7"/>
    <w:multiLevelType w:val="hybridMultilevel"/>
    <w:tmpl w:val="14F2047E"/>
    <w:lvl w:ilvl="0" w:tplc="0409000F">
      <w:start w:val="1"/>
      <w:numFmt w:val="decimal"/>
      <w:lvlText w:val="%1."/>
      <w:lvlJc w:val="left"/>
      <w:pPr>
        <w:ind w:left="1512" w:hanging="360"/>
      </w:pPr>
      <w:rPr>
        <w:rFonts w:hint="default"/>
      </w:rPr>
    </w:lvl>
    <w:lvl w:ilvl="1" w:tplc="9CE6CC82">
      <w:start w:val="1"/>
      <w:numFmt w:val="decimal"/>
      <w:lvlText w:val="%2."/>
      <w:lvlJc w:val="left"/>
      <w:pPr>
        <w:ind w:left="2232" w:hanging="360"/>
      </w:pPr>
      <w:rPr>
        <w:rFonts w:asciiTheme="minorHAnsi" w:eastAsiaTheme="minorHAnsi" w:hAnsiTheme="minorHAnsi" w:cstheme="minorBidi"/>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DC300FB"/>
    <w:multiLevelType w:val="hybridMultilevel"/>
    <w:tmpl w:val="6EAC2A0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9E36808"/>
    <w:multiLevelType w:val="hybridMultilevel"/>
    <w:tmpl w:val="8556C2D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9741AED"/>
    <w:multiLevelType w:val="hybridMultilevel"/>
    <w:tmpl w:val="0D561DA6"/>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A4F82"/>
    <w:multiLevelType w:val="hybridMultilevel"/>
    <w:tmpl w:val="0226ACCC"/>
    <w:lvl w:ilvl="0" w:tplc="A87E8F3E">
      <w:start w:val="1"/>
      <w:numFmt w:val="decimal"/>
      <w:lvlText w:val="%1."/>
      <w:lvlJc w:val="left"/>
      <w:pPr>
        <w:ind w:left="1512" w:hanging="360"/>
      </w:p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13" w15:restartNumberingAfterBreak="0">
    <w:nsid w:val="69BD5484"/>
    <w:multiLevelType w:val="hybridMultilevel"/>
    <w:tmpl w:val="4644FE4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0"/>
  </w:num>
  <w:num w:numId="10">
    <w:abstractNumId w:val="6"/>
  </w:num>
  <w:num w:numId="11">
    <w:abstractNumId w:val="4"/>
  </w:num>
  <w:num w:numId="12">
    <w:abstractNumId w:val="10"/>
  </w:num>
  <w:num w:numId="13">
    <w:abstractNumId w:val="13"/>
  </w:num>
  <w:num w:numId="14">
    <w:abstractNumId w:val="9"/>
  </w:num>
  <w:num w:numId="1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162D2"/>
    <w:rsid w:val="000461A6"/>
    <w:rsid w:val="0005152A"/>
    <w:rsid w:val="00070FBB"/>
    <w:rsid w:val="000801F9"/>
    <w:rsid w:val="000C6827"/>
    <w:rsid w:val="001105E0"/>
    <w:rsid w:val="001333BE"/>
    <w:rsid w:val="0016086B"/>
    <w:rsid w:val="00192874"/>
    <w:rsid w:val="001A369A"/>
    <w:rsid w:val="002419B9"/>
    <w:rsid w:val="002C09CB"/>
    <w:rsid w:val="002E7122"/>
    <w:rsid w:val="00322796"/>
    <w:rsid w:val="00363570"/>
    <w:rsid w:val="003C4B5B"/>
    <w:rsid w:val="003D7957"/>
    <w:rsid w:val="0043663E"/>
    <w:rsid w:val="004703F8"/>
    <w:rsid w:val="004C7C02"/>
    <w:rsid w:val="00502D37"/>
    <w:rsid w:val="005064B4"/>
    <w:rsid w:val="00560D80"/>
    <w:rsid w:val="00573ED0"/>
    <w:rsid w:val="005A5C87"/>
    <w:rsid w:val="005A6600"/>
    <w:rsid w:val="005C5D5D"/>
    <w:rsid w:val="00684B82"/>
    <w:rsid w:val="00691214"/>
    <w:rsid w:val="006925CF"/>
    <w:rsid w:val="00712B9C"/>
    <w:rsid w:val="00754256"/>
    <w:rsid w:val="007A763B"/>
    <w:rsid w:val="007B612C"/>
    <w:rsid w:val="00807DA9"/>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1516E"/>
    <w:rsid w:val="00B21389"/>
    <w:rsid w:val="00B254C5"/>
    <w:rsid w:val="00B82064"/>
    <w:rsid w:val="00B96B69"/>
    <w:rsid w:val="00C1654F"/>
    <w:rsid w:val="00C35758"/>
    <w:rsid w:val="00C757E0"/>
    <w:rsid w:val="00CA3F21"/>
    <w:rsid w:val="00CB3067"/>
    <w:rsid w:val="00CC4431"/>
    <w:rsid w:val="00CD6CAE"/>
    <w:rsid w:val="00D01AA5"/>
    <w:rsid w:val="00D65992"/>
    <w:rsid w:val="00D90FBA"/>
    <w:rsid w:val="00DA225A"/>
    <w:rsid w:val="00DC5A1A"/>
    <w:rsid w:val="00E04F7A"/>
    <w:rsid w:val="00E55BDB"/>
    <w:rsid w:val="00E853BF"/>
    <w:rsid w:val="00EA0906"/>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schemas.microsoft.com/office/infopath/2007/PartnerControls"/>
    <ds:schemaRef ds:uri="http://schemas.microsoft.com/office/2006/documentManagement/types"/>
    <ds:schemaRef ds:uri="http://purl.org/dc/dcmitype/"/>
    <ds:schemaRef ds:uri="815eeb92-241d-4571-a8b6-3d5f3a10bc97"/>
    <ds:schemaRef ds:uri="http://purl.org/dc/elements/1.1/"/>
    <ds:schemaRef ds:uri="http://schemas.microsoft.com/office/2006/metadata/properties"/>
    <ds:schemaRef ds:uri="http://schemas.openxmlformats.org/package/2006/metadata/core-properties"/>
    <ds:schemaRef ds:uri="9a9b08c6-6a1a-4248-a5fe-e7e7aed633cd"/>
    <ds:schemaRef ds:uri="http://www.w3.org/XML/1998/namespace"/>
    <ds:schemaRef ds:uri="http://purl.org/dc/te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C597C-E6AA-4869-81BF-811D34CE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4390</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4</cp:revision>
  <cp:lastPrinted>2017-09-20T19:30:00Z</cp:lastPrinted>
  <dcterms:created xsi:type="dcterms:W3CDTF">2017-09-27T17:10:00Z</dcterms:created>
  <dcterms:modified xsi:type="dcterms:W3CDTF">2017-09-29T16:41:00Z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