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6CF82FE4" w:rsidR="00F46C0A" w:rsidRPr="00BC52CE" w:rsidRDefault="00FB02A3" w:rsidP="00F46C0A">
      <w:pPr>
        <w:jc w:val="center"/>
        <w:rPr>
          <w:rFonts w:asciiTheme="minorHAnsi" w:hAnsiTheme="minorHAnsi" w:cstheme="minorHAnsi"/>
          <w:b/>
        </w:rPr>
      </w:pPr>
      <w:r>
        <w:rPr>
          <w:rFonts w:asciiTheme="minorHAnsi" w:hAnsiTheme="minorHAnsi" w:cstheme="minorHAnsi"/>
        </w:rPr>
        <w:t>Sunday, October 15, 2017</w:t>
      </w:r>
    </w:p>
    <w:p w14:paraId="01FC717D" w14:textId="03A4E1B4" w:rsidR="00F46C0A" w:rsidRPr="00BC52CE" w:rsidRDefault="00FB02A3" w:rsidP="00F46C0A">
      <w:pPr>
        <w:jc w:val="center"/>
        <w:rPr>
          <w:rFonts w:asciiTheme="minorHAnsi" w:hAnsiTheme="minorHAnsi" w:cstheme="minorHAnsi"/>
        </w:rPr>
      </w:pPr>
      <w:r>
        <w:rPr>
          <w:rFonts w:asciiTheme="minorHAnsi" w:hAnsiTheme="minorHAnsi" w:cstheme="minorHAnsi"/>
        </w:rPr>
        <w:t>7:45 – 9:15 am</w:t>
      </w:r>
    </w:p>
    <w:p w14:paraId="7AA9C295" w14:textId="77777777" w:rsidR="00684B82" w:rsidRPr="00C31D65" w:rsidRDefault="00FB02A3" w:rsidP="00684B82">
      <w:pPr>
        <w:jc w:val="center"/>
        <w:rPr>
          <w:rFonts w:asciiTheme="minorHAnsi" w:hAnsiTheme="minorHAnsi" w:cstheme="minorHAnsi"/>
          <w:b/>
          <w:sz w:val="40"/>
          <w:szCs w:val="40"/>
        </w:rPr>
      </w:pPr>
      <w:bookmarkStart w:id="0" w:name="OLE_LINK1"/>
      <w:bookmarkStart w:id="1" w:name="OLE_LINK2"/>
      <w:r w:rsidRPr="00C31D65">
        <w:rPr>
          <w:rFonts w:asciiTheme="minorHAnsi" w:hAnsiTheme="minorHAnsi" w:cstheme="minorHAnsi"/>
        </w:rPr>
        <w:t>Gaylord Palms Resort &amp; Convention Center</w:t>
      </w:r>
      <w:r w:rsidR="00F46C0A" w:rsidRPr="00C31D65">
        <w:rPr>
          <w:rFonts w:asciiTheme="minorHAnsi" w:hAnsiTheme="minorHAnsi" w:cstheme="minorHAnsi"/>
        </w:rPr>
        <w:t xml:space="preserve"> </w:t>
      </w:r>
      <w:r w:rsidR="00F46C0A" w:rsidRPr="00C31D65">
        <w:rPr>
          <w:rFonts w:asciiTheme="minorHAnsi" w:hAnsiTheme="minorHAnsi" w:cstheme="minorHAnsi"/>
        </w:rPr>
        <w:br/>
      </w:r>
      <w:bookmarkEnd w:id="0"/>
      <w:bookmarkEnd w:id="1"/>
    </w:p>
    <w:p w14:paraId="7DD760BB" w14:textId="67AA5824" w:rsidR="00F46C0A" w:rsidRPr="00C31D65"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45440"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051FAD95" w14:textId="1982C88F" w:rsidR="00F46C0A" w:rsidRDefault="005D7322"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LTC Business Summit</w:t>
                            </w:r>
                          </w:p>
                          <w:p w14:paraId="4954D796" w14:textId="5551B574" w:rsidR="005D7322" w:rsidRPr="00684B82" w:rsidRDefault="005D7322"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New Directions for Your Long-Term Care Practice</w:t>
                            </w:r>
                          </w:p>
                          <w:p w14:paraId="386CE334" w14:textId="1C2DCE72" w:rsidR="00A672DF" w:rsidRPr="00684B82" w:rsidRDefault="005D7322"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Irving Stackpole, RRT, Med, President, Stackpole &amp; Associates, Inc.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454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051FAD95" w14:textId="1982C88F" w:rsidR="00F46C0A" w:rsidRDefault="005D7322"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LTC Business Summit</w:t>
                      </w:r>
                    </w:p>
                    <w:p w14:paraId="4954D796" w14:textId="5551B574" w:rsidR="005D7322" w:rsidRPr="00684B82" w:rsidRDefault="005D7322"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New Directions for Your Long-Term Care Practice</w:t>
                      </w:r>
                    </w:p>
                    <w:p w14:paraId="386CE334" w14:textId="1C2DCE72" w:rsidR="00A672DF" w:rsidRPr="00684B82" w:rsidRDefault="005D7322"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Irving Stackpole, RRT, Med, President, Stackpole &amp; Associates, Inc.</w:t>
                      </w:r>
                    </w:p>
                  </w:txbxContent>
                </v:textbox>
                <w10:wrap type="square" anchorx="page"/>
              </v:shape>
            </w:pict>
          </mc:Fallback>
        </mc:AlternateContent>
      </w:r>
      <w:r w:rsidR="00F46C0A" w:rsidRPr="00C31D65">
        <w:rPr>
          <w:rFonts w:asciiTheme="minorHAnsi" w:hAnsiTheme="minorHAnsi" w:cstheme="minorHAnsi"/>
          <w:b/>
          <w:sz w:val="48"/>
          <w:szCs w:val="48"/>
        </w:rPr>
        <w:t>Implementation</w:t>
      </w:r>
      <w:r w:rsidR="00F46C0A" w:rsidRPr="00C31D65">
        <w:rPr>
          <w:rFonts w:asciiTheme="minorHAnsi" w:hAnsiTheme="minorHAnsi" w:cstheme="minorHAnsi"/>
          <w:b/>
          <w:sz w:val="40"/>
          <w:szCs w:val="40"/>
        </w:rPr>
        <w:t xml:space="preserve"> </w:t>
      </w:r>
      <w:r w:rsidR="00F46C0A" w:rsidRPr="00C31D65">
        <w:rPr>
          <w:rFonts w:asciiTheme="minorHAnsi" w:hAnsiTheme="minorHAnsi" w:cstheme="minorHAnsi"/>
          <w:b/>
          <w:sz w:val="48"/>
          <w:szCs w:val="48"/>
        </w:rPr>
        <w:t>Planner</w:t>
      </w:r>
    </w:p>
    <w:p w14:paraId="0C059D71" w14:textId="65AE3815" w:rsidR="00684B82" w:rsidRDefault="00684B82" w:rsidP="00F46C0A">
      <w:pPr>
        <w:ind w:left="1152" w:right="1152"/>
        <w:rPr>
          <w:rFonts w:ascii="Calibri" w:hAnsi="Calibri"/>
          <w:b/>
          <w:bCs/>
          <w:sz w:val="22"/>
        </w:rPr>
      </w:pP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6B633283" w14:textId="3528091A" w:rsidR="005D7322" w:rsidRPr="005D7322" w:rsidRDefault="005D7322" w:rsidP="005D7322">
      <w:pPr>
        <w:numPr>
          <w:ilvl w:val="0"/>
          <w:numId w:val="4"/>
        </w:numPr>
        <w:rPr>
          <w:rFonts w:asciiTheme="minorHAnsi" w:hAnsiTheme="minorHAnsi" w:cstheme="minorHAnsi"/>
          <w:bCs/>
          <w:sz w:val="22"/>
          <w:szCs w:val="22"/>
        </w:rPr>
      </w:pPr>
      <w:r w:rsidRPr="005D7322">
        <w:rPr>
          <w:rFonts w:asciiTheme="minorHAnsi" w:hAnsiTheme="minorHAnsi" w:cstheme="minorHAnsi"/>
          <w:sz w:val="22"/>
          <w:szCs w:val="22"/>
        </w:rPr>
        <w:t>Assess transitions of care and readmissi</w:t>
      </w:r>
      <w:r>
        <w:rPr>
          <w:rFonts w:asciiTheme="minorHAnsi" w:hAnsiTheme="minorHAnsi" w:cstheme="minorHAnsi"/>
          <w:sz w:val="22"/>
          <w:szCs w:val="22"/>
        </w:rPr>
        <w:t>ons reporting guidelines and it</w:t>
      </w:r>
      <w:r w:rsidRPr="005D7322">
        <w:rPr>
          <w:rFonts w:asciiTheme="minorHAnsi" w:hAnsiTheme="minorHAnsi" w:cstheme="minorHAnsi"/>
          <w:sz w:val="22"/>
          <w:szCs w:val="22"/>
        </w:rPr>
        <w:t xml:space="preserve">s relevancy to LTC pharmacies. </w:t>
      </w:r>
    </w:p>
    <w:p w14:paraId="5795CD37" w14:textId="77777777" w:rsidR="005D7322" w:rsidRPr="005D7322" w:rsidRDefault="005D7322" w:rsidP="005D7322">
      <w:pPr>
        <w:numPr>
          <w:ilvl w:val="0"/>
          <w:numId w:val="4"/>
        </w:numPr>
        <w:rPr>
          <w:rFonts w:asciiTheme="minorHAnsi" w:hAnsiTheme="minorHAnsi" w:cstheme="minorHAnsi"/>
          <w:bCs/>
          <w:sz w:val="22"/>
          <w:szCs w:val="22"/>
        </w:rPr>
      </w:pPr>
      <w:r w:rsidRPr="005D7322">
        <w:rPr>
          <w:rFonts w:asciiTheme="minorHAnsi" w:hAnsiTheme="minorHAnsi" w:cstheme="minorHAnsi"/>
          <w:sz w:val="22"/>
          <w:szCs w:val="22"/>
        </w:rPr>
        <w:t xml:space="preserve">Discuss funding opportunities for LTC pharmacies. </w:t>
      </w:r>
    </w:p>
    <w:p w14:paraId="011C6FC7" w14:textId="28EE9A1D" w:rsidR="00F46C0A" w:rsidRPr="005D7322" w:rsidRDefault="005D7322" w:rsidP="005D7322">
      <w:pPr>
        <w:pStyle w:val="ListParagraph"/>
        <w:numPr>
          <w:ilvl w:val="0"/>
          <w:numId w:val="4"/>
        </w:numPr>
        <w:ind w:right="1152"/>
        <w:rPr>
          <w:rFonts w:asciiTheme="minorHAnsi" w:hAnsiTheme="minorHAnsi" w:cstheme="minorHAnsi"/>
          <w:sz w:val="22"/>
          <w:szCs w:val="22"/>
        </w:rPr>
      </w:pPr>
      <w:r w:rsidRPr="005D7322">
        <w:rPr>
          <w:rFonts w:asciiTheme="minorHAnsi" w:hAnsiTheme="minorHAnsi" w:cstheme="minorHAnsi"/>
          <w:sz w:val="22"/>
          <w:szCs w:val="22"/>
        </w:rPr>
        <w:t>Examine the role that community pharmacies can play in supporting LTC providers.</w:t>
      </w:r>
    </w:p>
    <w:p w14:paraId="4D1101D8" w14:textId="77777777" w:rsidR="005D7322" w:rsidRDefault="005D7322" w:rsidP="00C31D65">
      <w:pPr>
        <w:ind w:left="1152" w:right="1152"/>
        <w:jc w:val="center"/>
        <w:rPr>
          <w:rFonts w:ascii="Calibri" w:hAnsi="Calibri"/>
          <w:b/>
          <w:iCs/>
          <w:sz w:val="22"/>
        </w:rPr>
      </w:pPr>
    </w:p>
    <w:p w14:paraId="17E4AE32" w14:textId="7886239C" w:rsidR="00F46C0A" w:rsidRPr="00F46C0A" w:rsidRDefault="00F46C0A" w:rsidP="00C31D65">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8113FC" w:rsidRDefault="00F46C0A" w:rsidP="00F46C0A">
      <w:pPr>
        <w:ind w:left="1152" w:right="1152"/>
        <w:rPr>
          <w:rFonts w:ascii="Calibri" w:hAnsi="Calibri"/>
          <w:b/>
          <w:sz w:val="22"/>
        </w:rPr>
      </w:pPr>
      <w:r w:rsidRPr="008113FC">
        <w:rPr>
          <w:rFonts w:ascii="Calibri" w:hAnsi="Calibri"/>
          <w:b/>
          <w:sz w:val="22"/>
        </w:rPr>
        <w:t>Disclosures:</w:t>
      </w:r>
    </w:p>
    <w:p w14:paraId="4171B7E5" w14:textId="60575943" w:rsidR="004703F8" w:rsidRPr="00F46C0A" w:rsidRDefault="005D7322" w:rsidP="004703F8">
      <w:pPr>
        <w:ind w:left="1152" w:right="1152"/>
        <w:rPr>
          <w:rFonts w:ascii="Calibri" w:hAnsi="Calibri"/>
          <w:sz w:val="22"/>
        </w:rPr>
      </w:pPr>
      <w:r>
        <w:rPr>
          <w:rFonts w:ascii="Calibri" w:hAnsi="Calibri"/>
          <w:sz w:val="22"/>
        </w:rPr>
        <w:t>Irving Stackpole is the President of Stackpole &amp; Associates, Inc.  The conflict of interest was resolved by peer review of the slide content.</w:t>
      </w:r>
    </w:p>
    <w:p w14:paraId="4478A4C4" w14:textId="77777777" w:rsidR="00F46C0A" w:rsidRPr="00F46C0A" w:rsidRDefault="00F46C0A" w:rsidP="00F46C0A">
      <w:pPr>
        <w:ind w:left="1152" w:right="1152"/>
        <w:rPr>
          <w:rFonts w:ascii="Calibri" w:hAnsi="Calibri"/>
          <w:sz w:val="22"/>
        </w:rPr>
      </w:pPr>
    </w:p>
    <w:p w14:paraId="6057A06A" w14:textId="62E4DF01"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1CB1E74A" w14:textId="2D5FA658" w:rsidR="00F46C0A" w:rsidRDefault="00F46C0A" w:rsidP="00F46C0A">
      <w:pPr>
        <w:ind w:left="1152" w:right="1152"/>
        <w:jc w:val="center"/>
        <w:rPr>
          <w:rFonts w:ascii="Calibri" w:hAnsi="Calibri"/>
          <w:sz w:val="22"/>
        </w:rPr>
      </w:pPr>
    </w:p>
    <w:p w14:paraId="497D37D0" w14:textId="77777777" w:rsidR="00684B82" w:rsidRPr="00F46C0A" w:rsidRDefault="00684B82" w:rsidP="00F46C0A">
      <w:pPr>
        <w:ind w:left="1152" w:right="1152"/>
        <w:jc w:val="center"/>
        <w:rPr>
          <w:rFonts w:ascii="Calibri" w:hAnsi="Calibri"/>
          <w:sz w:val="22"/>
        </w:rPr>
      </w:pP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50860C1F" w14:textId="550B48DE"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B2931"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668F7091" w:rsidR="00F46C0A" w:rsidRPr="00F46C0A" w:rsidRDefault="00256038"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0D1F37C1">
                <wp:simplePos x="0" y="0"/>
                <wp:positionH relativeFrom="page">
                  <wp:posOffset>1133475</wp:posOffset>
                </wp:positionH>
                <wp:positionV relativeFrom="paragraph">
                  <wp:posOffset>145415</wp:posOffset>
                </wp:positionV>
                <wp:extent cx="5487035" cy="52203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2203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1.45pt;width:432.05pt;height:411.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bookmarkStart w:id="2" w:name="_GoBack"/>
      <w:bookmarkEnd w:id="2"/>
    </w:p>
    <w:p w14:paraId="0953A720" w14:textId="665B0D43" w:rsidR="00F46C0A" w:rsidRPr="00F46C0A" w:rsidRDefault="00256038"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6EAFCC49">
                <wp:simplePos x="0" y="0"/>
                <wp:positionH relativeFrom="margin">
                  <wp:posOffset>695325</wp:posOffset>
                </wp:positionH>
                <wp:positionV relativeFrom="paragraph">
                  <wp:posOffset>99695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1FA0C"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7.85pt" to="48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" strokecolor="black [3213]" strokeweight=".5pt">
                <v:stroke joinstyle="miter"/>
                <w10:wrap anchorx="margin"/>
              </v:line>
            </w:pict>
          </mc:Fallback>
        </mc:AlternateContent>
      </w:r>
    </w:p>
    <w:p w14:paraId="363964E3" w14:textId="16FC411F" w:rsidR="00F46C0A" w:rsidRPr="00F46C0A" w:rsidRDefault="00F46C0A" w:rsidP="00F46C0A">
      <w:pPr>
        <w:rPr>
          <w:rFonts w:ascii="Calibri" w:hAnsi="Calibri"/>
          <w:sz w:val="22"/>
        </w:rPr>
      </w:pPr>
    </w:p>
    <w:p w14:paraId="7C9ADBA7" w14:textId="4AAC3098"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2185F"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5A3241"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31187D6F" w:rsidR="0016086B" w:rsidRPr="0016086B" w:rsidRDefault="0016086B" w:rsidP="00F46C0A">
      <w:pPr>
        <w:rPr>
          <w:rFonts w:ascii="Calibri" w:hAnsi="Calibri"/>
          <w:b/>
        </w:rPr>
      </w:pPr>
      <w:r w:rsidRPr="0016086B">
        <w:rPr>
          <w:rFonts w:ascii="Calibri" w:hAnsi="Calibri"/>
          <w:b/>
        </w:rPr>
        <w:lastRenderedPageBreak/>
        <w:t>Speaker Bio:</w:t>
      </w:r>
    </w:p>
    <w:p w14:paraId="1390DCED" w14:textId="77777777" w:rsidR="0016086B" w:rsidRPr="005D7322" w:rsidRDefault="0016086B" w:rsidP="00F46C0A">
      <w:pPr>
        <w:rPr>
          <w:rFonts w:asciiTheme="minorHAnsi" w:hAnsiTheme="minorHAnsi" w:cstheme="minorHAnsi"/>
          <w:sz w:val="22"/>
          <w:szCs w:val="22"/>
        </w:rPr>
      </w:pPr>
    </w:p>
    <w:p w14:paraId="749F2A73" w14:textId="77777777" w:rsidR="005D7322" w:rsidRPr="005D7322" w:rsidRDefault="005D7322" w:rsidP="005D7322">
      <w:pPr>
        <w:rPr>
          <w:rFonts w:asciiTheme="minorHAnsi" w:hAnsiTheme="minorHAnsi" w:cstheme="minorHAnsi"/>
          <w:sz w:val="22"/>
          <w:szCs w:val="22"/>
        </w:rPr>
      </w:pPr>
      <w:r w:rsidRPr="005D7322">
        <w:rPr>
          <w:rFonts w:asciiTheme="minorHAnsi" w:hAnsiTheme="minorHAnsi" w:cstheme="minorHAnsi"/>
          <w:sz w:val="22"/>
          <w:szCs w:val="22"/>
        </w:rPr>
        <w:t xml:space="preserve">With over 40 years of international healthcare experience, </w:t>
      </w:r>
      <w:r w:rsidRPr="005D7322">
        <w:rPr>
          <w:rFonts w:asciiTheme="minorHAnsi" w:hAnsiTheme="minorHAnsi" w:cstheme="minorHAnsi"/>
          <w:b/>
          <w:sz w:val="22"/>
          <w:szCs w:val="22"/>
        </w:rPr>
        <w:t>Irving Stackpole</w:t>
      </w:r>
      <w:r w:rsidRPr="005D7322">
        <w:rPr>
          <w:rFonts w:asciiTheme="minorHAnsi" w:hAnsiTheme="minorHAnsi" w:cstheme="minorHAnsi"/>
          <w:sz w:val="22"/>
          <w:szCs w:val="22"/>
        </w:rPr>
        <w:t xml:space="preserve"> is the President of Stackpole &amp; Associates, Inc., a marketing, market research, and training firm.  Irving possesses clinical training as well as business development and management experience, focusing on understanding consumer choice dynamics in healthcare, human services and seniors’ housing &amp; care.  Stackpole &amp; Associates applies scientific principles to secure intelligent answers to its global clients’ most important questions. Irving is widely published and has keynoted conferences throughout the US, UK, Europe as well as Central, South America and Asia. </w:t>
      </w:r>
    </w:p>
    <w:p w14:paraId="53C215E3" w14:textId="3FEFFBE4" w:rsidR="0016086B" w:rsidRPr="005D7322" w:rsidRDefault="0016086B" w:rsidP="005D7322">
      <w:pPr>
        <w:rPr>
          <w:rFonts w:asciiTheme="minorHAnsi" w:hAnsiTheme="minorHAnsi" w:cstheme="minorHAnsi"/>
          <w:sz w:val="22"/>
          <w:szCs w:val="22"/>
        </w:rPr>
      </w:pPr>
    </w:p>
    <w:sectPr w:rsidR="0016086B" w:rsidRPr="005D7322"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BEDE" w14:textId="113A2D04" w:rsidR="00C31D65" w:rsidRPr="00C31D65" w:rsidRDefault="00C31D65">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38035102" wp14:editId="0F5C51FC">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D65">
      <w:rPr>
        <w:rFonts w:asciiTheme="minorHAnsi" w:hAnsiTheme="minorHAnsi" w:cstheme="minorHAnsi"/>
        <w:sz w:val="20"/>
        <w:szCs w:val="20"/>
      </w:rPr>
      <w:t>NCPA is accredited by the Accreditation Council for Pharmacy Education as a provider of continuing pharmacy education.  This program is accredited by NCPA for 1.5 contact hours (0.15 CEUs) of continuing education credit. ACPE UAN: 0207-0000-17-</w:t>
    </w:r>
    <w:r w:rsidR="005D7322">
      <w:rPr>
        <w:rFonts w:asciiTheme="minorHAnsi" w:hAnsiTheme="minorHAnsi" w:cstheme="minorHAnsi"/>
        <w:sz w:val="20"/>
        <w:szCs w:val="20"/>
      </w:rPr>
      <w:t>237</w:t>
    </w:r>
    <w:r w:rsidRPr="00C31D65">
      <w:rPr>
        <w:rFonts w:asciiTheme="minorHAnsi" w:hAnsiTheme="minorHAnsi" w:cstheme="minorHAnsi"/>
        <w:sz w:val="20"/>
        <w:szCs w:val="20"/>
      </w:rPr>
      <w:t>-L04-P and 0207-0000-17-</w:t>
    </w:r>
    <w:r w:rsidR="005D7322">
      <w:rPr>
        <w:rFonts w:asciiTheme="minorHAnsi" w:hAnsiTheme="minorHAnsi" w:cstheme="minorHAnsi"/>
        <w:sz w:val="20"/>
        <w:szCs w:val="20"/>
      </w:rPr>
      <w:t>237</w:t>
    </w:r>
    <w:r w:rsidRPr="00C31D65">
      <w:rPr>
        <w:rFonts w:asciiTheme="minorHAnsi" w:hAnsiTheme="minorHAnsi" w:cstheme="minorHAnsi"/>
        <w:sz w:val="20"/>
        <w:szCs w:val="20"/>
      </w:rPr>
      <w:t>-L04-T.  Activity type: Application-Based</w:t>
    </w:r>
  </w:p>
  <w:p w14:paraId="503CCF26" w14:textId="77777777" w:rsidR="00C31D65" w:rsidRDefault="00C3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51CD69B3"/>
    <w:multiLevelType w:val="hybridMultilevel"/>
    <w:tmpl w:val="A40CE1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1333BE"/>
    <w:rsid w:val="0016086B"/>
    <w:rsid w:val="001A369A"/>
    <w:rsid w:val="00256038"/>
    <w:rsid w:val="002C09CB"/>
    <w:rsid w:val="002E7122"/>
    <w:rsid w:val="003C4B5B"/>
    <w:rsid w:val="003D7957"/>
    <w:rsid w:val="004703F8"/>
    <w:rsid w:val="004C7C02"/>
    <w:rsid w:val="00502D37"/>
    <w:rsid w:val="00573ED0"/>
    <w:rsid w:val="005A5C87"/>
    <w:rsid w:val="005D7322"/>
    <w:rsid w:val="00684B82"/>
    <w:rsid w:val="006925CF"/>
    <w:rsid w:val="00712B9C"/>
    <w:rsid w:val="007A763B"/>
    <w:rsid w:val="008113FC"/>
    <w:rsid w:val="00865C5F"/>
    <w:rsid w:val="008877C1"/>
    <w:rsid w:val="008D57A6"/>
    <w:rsid w:val="009005E2"/>
    <w:rsid w:val="00930B96"/>
    <w:rsid w:val="00982883"/>
    <w:rsid w:val="009C588E"/>
    <w:rsid w:val="009C7381"/>
    <w:rsid w:val="00A445F1"/>
    <w:rsid w:val="00A601B6"/>
    <w:rsid w:val="00A633A7"/>
    <w:rsid w:val="00A672DF"/>
    <w:rsid w:val="00AF0C92"/>
    <w:rsid w:val="00B21389"/>
    <w:rsid w:val="00B254C5"/>
    <w:rsid w:val="00B96B69"/>
    <w:rsid w:val="00C31D65"/>
    <w:rsid w:val="00C757E0"/>
    <w:rsid w:val="00CA3F21"/>
    <w:rsid w:val="00CD04C4"/>
    <w:rsid w:val="00CD6CAE"/>
    <w:rsid w:val="00D90FBA"/>
    <w:rsid w:val="00DA225A"/>
    <w:rsid w:val="00E04F7A"/>
    <w:rsid w:val="00E55BDB"/>
    <w:rsid w:val="00F13D4F"/>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character" w:customStyle="1" w:styleId="FooterChar">
    <w:name w:val="Footer Char"/>
    <w:basedOn w:val="DefaultParagraphFont"/>
    <w:link w:val="Footer"/>
    <w:uiPriority w:val="99"/>
    <w:rsid w:val="00C31D65"/>
    <w:rPr>
      <w:sz w:val="24"/>
      <w:szCs w:val="24"/>
    </w:rPr>
  </w:style>
  <w:style w:type="paragraph" w:styleId="ListParagraph">
    <w:name w:val="List Paragraph"/>
    <w:basedOn w:val="Normal"/>
    <w:uiPriority w:val="34"/>
    <w:qFormat/>
    <w:rsid w:val="005D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http://schemas.microsoft.com/office/infopath/2007/PartnerControls"/>
    <ds:schemaRef ds:uri="http://purl.org/dc/elements/1.1/"/>
    <ds:schemaRef ds:uri="http://schemas.microsoft.com/office/2006/metadata/properties"/>
    <ds:schemaRef ds:uri="9a9b08c6-6a1a-4248-a5fe-e7e7aed633cd"/>
    <ds:schemaRef ds:uri="http://schemas.microsoft.com/office/2006/documentManagement/types"/>
    <ds:schemaRef ds:uri="http://purl.org/dc/terms/"/>
    <ds:schemaRef ds:uri="http://purl.org/dc/dcmitype/"/>
    <ds:schemaRef ds:uri="http://schemas.openxmlformats.org/package/2006/metadata/core-properties"/>
    <ds:schemaRef ds:uri="815eeb92-241d-4571-a8b6-3d5f3a10bc97"/>
    <ds:schemaRef ds:uri="http://www.w3.org/XML/1998/namespace"/>
  </ds:schema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B6A7E-3DA8-41D8-8FEE-29412D1F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1706</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2017-09-20T19:30:00Z</cp:lastPrinted>
  <dcterms:created xsi:type="dcterms:W3CDTF">2017-09-26T17:09:00Z</dcterms:created>
  <dcterms:modified xsi:type="dcterms:W3CDTF">2017-09-29T16:15:00Z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