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6CF82FE4" w:rsidR="00F46C0A" w:rsidRPr="00BC52CE" w:rsidRDefault="00FB02A3" w:rsidP="00F46C0A">
      <w:pPr>
        <w:jc w:val="center"/>
        <w:rPr>
          <w:rFonts w:asciiTheme="minorHAnsi" w:hAnsiTheme="minorHAnsi" w:cstheme="minorHAnsi"/>
          <w:b/>
        </w:rPr>
      </w:pPr>
      <w:r>
        <w:rPr>
          <w:rFonts w:asciiTheme="minorHAnsi" w:hAnsiTheme="minorHAnsi" w:cstheme="minorHAnsi"/>
        </w:rPr>
        <w:t>Sunday, October 15, 2017</w:t>
      </w:r>
    </w:p>
    <w:p w14:paraId="01FC717D" w14:textId="03A4E1B4" w:rsidR="00F46C0A" w:rsidRPr="00BC52CE" w:rsidRDefault="00FB02A3" w:rsidP="00F46C0A">
      <w:pPr>
        <w:jc w:val="center"/>
        <w:rPr>
          <w:rFonts w:asciiTheme="minorHAnsi" w:hAnsiTheme="minorHAnsi" w:cstheme="minorHAnsi"/>
        </w:rPr>
      </w:pPr>
      <w:r>
        <w:rPr>
          <w:rFonts w:asciiTheme="minorHAnsi" w:hAnsiTheme="minorHAnsi" w:cstheme="minorHAnsi"/>
        </w:rPr>
        <w:t>7:45 – 9:15 am</w:t>
      </w:r>
    </w:p>
    <w:p w14:paraId="7AA9C295" w14:textId="77777777" w:rsidR="00684B82" w:rsidRPr="00BE61AE" w:rsidRDefault="00FB02A3" w:rsidP="00684B82">
      <w:pPr>
        <w:jc w:val="center"/>
        <w:rPr>
          <w:rFonts w:asciiTheme="minorHAnsi" w:hAnsiTheme="minorHAnsi" w:cstheme="minorHAnsi"/>
          <w:b/>
          <w:sz w:val="40"/>
          <w:szCs w:val="40"/>
        </w:rPr>
      </w:pPr>
      <w:bookmarkStart w:id="0" w:name="OLE_LINK1"/>
      <w:bookmarkStart w:id="1" w:name="OLE_LINK2"/>
      <w:r w:rsidRPr="00BE61AE">
        <w:rPr>
          <w:rFonts w:asciiTheme="minorHAnsi" w:hAnsiTheme="minorHAnsi" w:cstheme="minorHAnsi"/>
        </w:rPr>
        <w:t>Gaylord Palms Resort &amp; Convention Center</w:t>
      </w:r>
      <w:r w:rsidR="00F46C0A" w:rsidRPr="00BE61AE">
        <w:rPr>
          <w:rFonts w:asciiTheme="minorHAnsi" w:hAnsiTheme="minorHAnsi" w:cstheme="minorHAnsi"/>
        </w:rPr>
        <w:t xml:space="preserve"> </w:t>
      </w:r>
      <w:r w:rsidR="00F46C0A" w:rsidRPr="00BE61AE">
        <w:rPr>
          <w:rFonts w:asciiTheme="minorHAnsi" w:hAnsiTheme="minorHAnsi" w:cstheme="minorHAnsi"/>
        </w:rPr>
        <w:br/>
      </w:r>
      <w:bookmarkEnd w:id="0"/>
      <w:bookmarkEnd w:id="1"/>
    </w:p>
    <w:p w14:paraId="7DD760BB" w14:textId="67AA5824" w:rsidR="00F46C0A" w:rsidRPr="00BE61A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45440"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345FFD70" w:rsidR="00F46C0A" w:rsidRPr="00684B82" w:rsidRDefault="005A6600"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Create Opportunities for Service-Based Billing: A Stepwise Approach for Success</w:t>
                            </w:r>
                          </w:p>
                          <w:p w14:paraId="386CE334" w14:textId="18EFBF5D" w:rsidR="00A672DF" w:rsidRPr="00684B82" w:rsidRDefault="005A6600"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Bryan Ziegler, PharmD, Moss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454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345FFD70" w:rsidR="00F46C0A" w:rsidRPr="00684B82" w:rsidRDefault="005A6600"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Create Opportunities for Service-Based Billing: A Stepwise Approach for Success</w:t>
                      </w:r>
                    </w:p>
                    <w:p w14:paraId="386CE334" w14:textId="18EFBF5D" w:rsidR="00A672DF" w:rsidRPr="00684B82" w:rsidRDefault="005A6600"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Bryan Ziegler, </w:t>
                      </w:r>
                      <w:proofErr w:type="spellStart"/>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PharmD</w:t>
                      </w:r>
                      <w:proofErr w:type="spellEnd"/>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Moss Pharmacy</w:t>
                      </w:r>
                    </w:p>
                  </w:txbxContent>
                </v:textbox>
                <w10:wrap type="square" anchorx="page"/>
              </v:shape>
            </w:pict>
          </mc:Fallback>
        </mc:AlternateContent>
      </w:r>
      <w:r w:rsidR="00F46C0A" w:rsidRPr="00BE61AE">
        <w:rPr>
          <w:rFonts w:asciiTheme="minorHAnsi" w:hAnsiTheme="minorHAnsi" w:cstheme="minorHAnsi"/>
          <w:b/>
          <w:sz w:val="48"/>
          <w:szCs w:val="48"/>
        </w:rPr>
        <w:t>Implementation</w:t>
      </w:r>
      <w:r w:rsidR="00F46C0A" w:rsidRPr="00BE61AE">
        <w:rPr>
          <w:rFonts w:asciiTheme="minorHAnsi" w:hAnsiTheme="minorHAnsi" w:cstheme="minorHAnsi"/>
          <w:b/>
          <w:sz w:val="40"/>
          <w:szCs w:val="40"/>
        </w:rPr>
        <w:t xml:space="preserve"> </w:t>
      </w:r>
      <w:r w:rsidR="00F46C0A" w:rsidRPr="00BE61AE">
        <w:rPr>
          <w:rFonts w:asciiTheme="minorHAnsi" w:hAnsiTheme="minorHAnsi" w:cstheme="minorHAnsi"/>
          <w:b/>
          <w:sz w:val="48"/>
          <w:szCs w:val="48"/>
        </w:rPr>
        <w:t>Planner</w:t>
      </w:r>
    </w:p>
    <w:p w14:paraId="0C059D71" w14:textId="65AE3815" w:rsidR="00684B82" w:rsidRPr="00BE61AE" w:rsidRDefault="00684B82" w:rsidP="00F46C0A">
      <w:pPr>
        <w:ind w:left="1152" w:right="1152"/>
        <w:rPr>
          <w:rFonts w:ascii="Calibri" w:hAnsi="Calibri"/>
          <w:b/>
          <w:bCs/>
          <w:sz w:val="22"/>
        </w:rPr>
      </w:pP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71D1305C" w14:textId="77777777" w:rsidR="005A6600" w:rsidRPr="005A6600" w:rsidRDefault="005A6600" w:rsidP="005A6600">
      <w:pPr>
        <w:pStyle w:val="ListParagraph"/>
        <w:numPr>
          <w:ilvl w:val="0"/>
          <w:numId w:val="4"/>
        </w:numPr>
        <w:spacing w:after="0" w:line="240" w:lineRule="auto"/>
        <w:rPr>
          <w:rFonts w:cstheme="minorHAnsi"/>
        </w:rPr>
      </w:pPr>
      <w:r w:rsidRPr="005A6600">
        <w:rPr>
          <w:rFonts w:cstheme="minorHAnsi"/>
        </w:rPr>
        <w:t xml:space="preserve">Outline the legal requirements to meet </w:t>
      </w:r>
      <w:proofErr w:type="gramStart"/>
      <w:r w:rsidRPr="005A6600">
        <w:rPr>
          <w:rFonts w:cstheme="minorHAnsi"/>
        </w:rPr>
        <w:t>in order to</w:t>
      </w:r>
      <w:proofErr w:type="gramEnd"/>
      <w:r w:rsidRPr="005A6600">
        <w:rPr>
          <w:rFonts w:cstheme="minorHAnsi"/>
        </w:rPr>
        <w:t xml:space="preserve"> bill for pharmacist provided patient care services. </w:t>
      </w:r>
    </w:p>
    <w:p w14:paraId="01393F19" w14:textId="77777777" w:rsidR="005A6600" w:rsidRPr="005A6600" w:rsidRDefault="005A6600" w:rsidP="005A6600">
      <w:pPr>
        <w:pStyle w:val="ListParagraph"/>
        <w:numPr>
          <w:ilvl w:val="0"/>
          <w:numId w:val="4"/>
        </w:numPr>
        <w:spacing w:after="0" w:line="240" w:lineRule="auto"/>
        <w:rPr>
          <w:rFonts w:cstheme="minorHAnsi"/>
        </w:rPr>
      </w:pPr>
      <w:r w:rsidRPr="005A6600">
        <w:rPr>
          <w:rFonts w:cstheme="minorHAnsi"/>
        </w:rPr>
        <w:t xml:space="preserve">Discuss example workflow processes to incorporate into the pharmacy practice when attempting to bill for patient care services. </w:t>
      </w:r>
    </w:p>
    <w:p w14:paraId="011C6FC7" w14:textId="0C36575C" w:rsidR="00F46C0A" w:rsidRPr="005A6600" w:rsidRDefault="005A6600" w:rsidP="005A6600">
      <w:pPr>
        <w:pStyle w:val="ListParagraph"/>
        <w:numPr>
          <w:ilvl w:val="0"/>
          <w:numId w:val="4"/>
        </w:numPr>
        <w:ind w:right="1152"/>
        <w:rPr>
          <w:rFonts w:cstheme="minorHAnsi"/>
        </w:rPr>
      </w:pPr>
      <w:r w:rsidRPr="005A6600">
        <w:rPr>
          <w:rFonts w:cstheme="minorHAnsi"/>
        </w:rPr>
        <w:t>Discuss the educational resources for pharmacy service billing.</w:t>
      </w:r>
    </w:p>
    <w:p w14:paraId="17E4AE32" w14:textId="77777777" w:rsidR="00F46C0A" w:rsidRPr="00F46C0A" w:rsidRDefault="00F46C0A" w:rsidP="000F5F7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1A108A" w:rsidRDefault="00F46C0A" w:rsidP="00F46C0A">
      <w:pPr>
        <w:ind w:left="1152" w:right="1152"/>
        <w:rPr>
          <w:rFonts w:ascii="Calibri" w:hAnsi="Calibri"/>
          <w:b/>
          <w:sz w:val="22"/>
        </w:rPr>
      </w:pPr>
      <w:r w:rsidRPr="001A108A">
        <w:rPr>
          <w:rFonts w:ascii="Calibri" w:hAnsi="Calibri"/>
          <w:b/>
          <w:sz w:val="22"/>
        </w:rPr>
        <w:t>Disclosures:</w:t>
      </w:r>
    </w:p>
    <w:p w14:paraId="4171B7E5" w14:textId="238189B7" w:rsidR="004703F8" w:rsidRPr="00F46C0A" w:rsidRDefault="005A6600" w:rsidP="004703F8">
      <w:pPr>
        <w:ind w:left="1152" w:right="1152"/>
        <w:rPr>
          <w:rFonts w:ascii="Calibri" w:hAnsi="Calibri"/>
          <w:sz w:val="22"/>
        </w:rPr>
      </w:pPr>
      <w:r>
        <w:rPr>
          <w:rFonts w:ascii="Calibri" w:hAnsi="Calibri"/>
          <w:sz w:val="22"/>
        </w:rPr>
        <w:t>Bryan Ziegler</w:t>
      </w:r>
      <w:r w:rsidR="004703F8"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1CB1E74A" w14:textId="2D5FA658" w:rsidR="00F46C0A" w:rsidRDefault="00F46C0A" w:rsidP="00F46C0A">
      <w:pPr>
        <w:ind w:left="1152" w:right="1152"/>
        <w:jc w:val="center"/>
        <w:rPr>
          <w:rFonts w:ascii="Calibri" w:hAnsi="Calibri"/>
          <w:sz w:val="22"/>
        </w:rPr>
      </w:pPr>
    </w:p>
    <w:p w14:paraId="497D37D0" w14:textId="77777777" w:rsidR="00684B82" w:rsidRPr="00F46C0A" w:rsidRDefault="00684B82" w:rsidP="00F46C0A">
      <w:pPr>
        <w:ind w:left="1152" w:right="1152"/>
        <w:jc w:val="center"/>
        <w:rPr>
          <w:rFonts w:ascii="Calibri" w:hAnsi="Calibri"/>
          <w:sz w:val="22"/>
        </w:rPr>
      </w:pP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058CF"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ABD914" w:rsidR="00F46C0A" w:rsidRPr="00F46C0A" w:rsidRDefault="00F46C0A" w:rsidP="00F46C0A">
      <w:pPr>
        <w:rPr>
          <w:rFonts w:ascii="Calibri" w:hAnsi="Calibri"/>
          <w:sz w:val="22"/>
        </w:rPr>
      </w:pPr>
    </w:p>
    <w:p w14:paraId="3F8ED956" w14:textId="353F7133" w:rsidR="00F46C0A" w:rsidRPr="00F46C0A" w:rsidRDefault="00BE61AE"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398392AD">
                <wp:simplePos x="0" y="0"/>
                <wp:positionH relativeFrom="page">
                  <wp:posOffset>1133475</wp:posOffset>
                </wp:positionH>
                <wp:positionV relativeFrom="paragraph">
                  <wp:posOffset>22226</wp:posOffset>
                </wp:positionV>
                <wp:extent cx="5487035" cy="517271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17271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75pt;width:432.05pt;height:407.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6FFB5648" w:rsidR="00F46C0A" w:rsidRPr="00F46C0A" w:rsidRDefault="00BE61AE"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6223E3DB">
                <wp:simplePos x="0" y="0"/>
                <wp:positionH relativeFrom="margin">
                  <wp:posOffset>676275</wp:posOffset>
                </wp:positionH>
                <wp:positionV relativeFrom="paragraph">
                  <wp:posOffset>147320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418D2"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25pt,11.6pt" to="485.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" strokecolor="black [3213]" strokeweight=".5pt">
                <v:stroke joinstyle="miter"/>
                <w10:wrap anchorx="margin"/>
              </v:line>
            </w:pict>
          </mc:Fallback>
        </mc:AlternateContent>
      </w:r>
    </w:p>
    <w:p w14:paraId="363964E3" w14:textId="4392C0CD" w:rsidR="00F46C0A" w:rsidRPr="00F46C0A" w:rsidRDefault="00F46C0A" w:rsidP="00F46C0A">
      <w:pPr>
        <w:rPr>
          <w:rFonts w:ascii="Calibri" w:hAnsi="Calibri"/>
          <w:sz w:val="22"/>
        </w:rPr>
      </w:pPr>
    </w:p>
    <w:p w14:paraId="7C9ADBA7" w14:textId="2E36B814"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93FBA"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E279BB"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02448C6F" w14:textId="77777777" w:rsidR="00BE61AE" w:rsidRDefault="00BE61AE" w:rsidP="00BE61AE">
      <w:pPr>
        <w:rPr>
          <w:rFonts w:ascii="Calibri" w:hAnsi="Calibri"/>
          <w:sz w:val="22"/>
        </w:rPr>
      </w:pPr>
    </w:p>
    <w:p w14:paraId="27DB88EC" w14:textId="77777777" w:rsidR="00BE61AE" w:rsidRDefault="00BE61AE" w:rsidP="00BE61AE">
      <w:pPr>
        <w:rPr>
          <w:rFonts w:ascii="Calibri" w:hAnsi="Calibri"/>
          <w:sz w:val="22"/>
        </w:rPr>
      </w:pPr>
    </w:p>
    <w:p w14:paraId="6C0EB4C1" w14:textId="1ACC3A0B" w:rsidR="0016086B" w:rsidRPr="00BE61AE" w:rsidRDefault="0016086B" w:rsidP="00BE61AE">
      <w:pPr>
        <w:rPr>
          <w:rFonts w:ascii="Calibri" w:hAnsi="Calibri"/>
          <w:sz w:val="22"/>
        </w:rPr>
      </w:pPr>
      <w:r w:rsidRPr="0016086B">
        <w:rPr>
          <w:rFonts w:ascii="Calibri" w:hAnsi="Calibri"/>
          <w:b/>
        </w:rPr>
        <w:lastRenderedPageBreak/>
        <w:t>Speaker Bio:</w:t>
      </w:r>
    </w:p>
    <w:p w14:paraId="1390DCED" w14:textId="77777777" w:rsidR="0016086B" w:rsidRDefault="0016086B" w:rsidP="00F46C0A">
      <w:pPr>
        <w:rPr>
          <w:rFonts w:ascii="Calibri" w:hAnsi="Calibri"/>
          <w:sz w:val="22"/>
        </w:rPr>
      </w:pPr>
    </w:p>
    <w:p w14:paraId="53C215E3" w14:textId="6CECDC01" w:rsidR="0016086B" w:rsidRPr="005A6600" w:rsidRDefault="005A6600" w:rsidP="005A6600">
      <w:pPr>
        <w:rPr>
          <w:rFonts w:asciiTheme="minorHAnsi" w:hAnsiTheme="minorHAnsi" w:cstheme="minorHAnsi"/>
          <w:sz w:val="22"/>
          <w:szCs w:val="22"/>
        </w:rPr>
      </w:pPr>
      <w:bookmarkStart w:id="2" w:name="_GoBack"/>
      <w:r w:rsidRPr="00EE7879">
        <w:rPr>
          <w:rFonts w:asciiTheme="minorHAnsi" w:hAnsiTheme="minorHAnsi" w:cstheme="minorHAnsi"/>
          <w:b/>
          <w:color w:val="000000"/>
          <w:sz w:val="22"/>
          <w:szCs w:val="22"/>
        </w:rPr>
        <w:t>Bryan Ziegler</w:t>
      </w:r>
      <w:bookmarkEnd w:id="2"/>
      <w:r w:rsidRPr="005A6600">
        <w:rPr>
          <w:rFonts w:asciiTheme="minorHAnsi" w:hAnsiTheme="minorHAnsi" w:cstheme="minorHAnsi"/>
          <w:color w:val="000000"/>
          <w:sz w:val="22"/>
          <w:szCs w:val="22"/>
        </w:rPr>
        <w:t>, PharmD, MBA is a graduate from the University of South Carolina College of Pharmacy and the Moore School of Business at the University of South Carolina.  After a few years in pharmacy practice, he completed an Executive Residency with the National Community Pharmacists Association from 2005-2006.  He previously served as the Executive Director of the Kennedy Pharmacy Innovation Center (KPIC) and a Clinical Assistant Professor at the South Carolina College of Pharmacy – University of South Carolina Campus until December 2016.   In that role, Bryan focused his teaching and research in the areas of pharmacy entrepreneurship and management, compounding, and developing sustainable business models for clinical pharmacy services.  He has been involved with the development and launch of two community pharmacy residency sites and three pilot programs successfully sustaining a pharmacist within a Patient-Centered Medical Home.  In January 2017 purchased Moss Compounding Pharmacy in Florence, SC and transitioned into the role of pharmacy owner.   Today, Bryan is working to expand pharmacist service opportunities within an innovative practice environment that includes traditional retail pharmacy, compounding pharmacy, and a primary care clinic.</w:t>
      </w:r>
    </w:p>
    <w:sectPr w:rsidR="0016086B" w:rsidRPr="005A6600"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D431" w14:textId="2AD61117" w:rsidR="000F5F74" w:rsidRPr="000F5F74" w:rsidRDefault="000F5F74">
    <w:pPr>
      <w:pStyle w:val="Footer"/>
      <w:rPr>
        <w:sz w:val="20"/>
        <w:szCs w:val="20"/>
      </w:rPr>
    </w:pPr>
    <w:r w:rsidRPr="00BC52CE">
      <w:rPr>
        <w:rFonts w:asciiTheme="minorHAnsi" w:hAnsiTheme="minorHAnsi" w:cstheme="minorHAnsi"/>
        <w:noProof/>
        <w:sz w:val="16"/>
      </w:rPr>
      <w:drawing>
        <wp:anchor distT="0" distB="0" distL="114300" distR="114300" simplePos="0" relativeHeight="251659776" behindDoc="0" locked="0" layoutInCell="1" allowOverlap="1" wp14:anchorId="3D5E5D53" wp14:editId="715A5DEB">
          <wp:simplePos x="0" y="0"/>
          <wp:positionH relativeFrom="margin">
            <wp:align>left</wp:align>
          </wp:positionH>
          <wp:positionV relativeFrom="paragraph">
            <wp:posOffset>-36195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F74">
      <w:rPr>
        <w:rFonts w:asciiTheme="minorHAnsi" w:hAnsiTheme="minorHAnsi" w:cstheme="minorHAnsi"/>
        <w:sz w:val="20"/>
        <w:szCs w:val="20"/>
      </w:rPr>
      <w:t>NCPA is accredited by the Accreditation Council for Pharmacy Education as a provider of continuing pharmacy education.  This program is accredited by NCPA for 1.5 contact hours (0.15 CEUs) of continuing education credit. ACPE UAN: 0207-0000-17-217-L04-P and 0207-0000-17-217-L04-T.  Activity type: Application-Based</w:t>
    </w:r>
  </w:p>
  <w:p w14:paraId="1C1ADEFA" w14:textId="77777777" w:rsidR="000F5F74" w:rsidRDefault="000F5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461A6"/>
    <w:rsid w:val="0005152A"/>
    <w:rsid w:val="00070FBB"/>
    <w:rsid w:val="000C6827"/>
    <w:rsid w:val="000F5F74"/>
    <w:rsid w:val="001333BE"/>
    <w:rsid w:val="0016086B"/>
    <w:rsid w:val="001A108A"/>
    <w:rsid w:val="001A369A"/>
    <w:rsid w:val="002C09CB"/>
    <w:rsid w:val="002E7122"/>
    <w:rsid w:val="003C4B5B"/>
    <w:rsid w:val="003D7957"/>
    <w:rsid w:val="0043663E"/>
    <w:rsid w:val="004703F8"/>
    <w:rsid w:val="004C7C02"/>
    <w:rsid w:val="00502D37"/>
    <w:rsid w:val="00573ED0"/>
    <w:rsid w:val="005A5C87"/>
    <w:rsid w:val="005A6600"/>
    <w:rsid w:val="00684B82"/>
    <w:rsid w:val="006925CF"/>
    <w:rsid w:val="00712B9C"/>
    <w:rsid w:val="007A763B"/>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BE61AE"/>
    <w:rsid w:val="00C757E0"/>
    <w:rsid w:val="00CA3F21"/>
    <w:rsid w:val="00CD6CAE"/>
    <w:rsid w:val="00D90FBA"/>
    <w:rsid w:val="00DA225A"/>
    <w:rsid w:val="00E04F7A"/>
    <w:rsid w:val="00E55BDB"/>
    <w:rsid w:val="00EE7879"/>
    <w:rsid w:val="00F13D4F"/>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5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schemas.microsoft.com/office/infopath/2007/PartnerControls"/>
    <ds:schemaRef ds:uri="http://purl.org/dc/elements/1.1/"/>
    <ds:schemaRef ds:uri="http://schemas.microsoft.com/office/2006/metadata/properties"/>
    <ds:schemaRef ds:uri="9a9b08c6-6a1a-4248-a5fe-e7e7aed633cd"/>
    <ds:schemaRef ds:uri="http://schemas.microsoft.com/office/2006/documentManagement/types"/>
    <ds:schemaRef ds:uri="http://purl.org/dc/terms/"/>
    <ds:schemaRef ds:uri="http://purl.org/dc/dcmitype/"/>
    <ds:schemaRef ds:uri="http://schemas.openxmlformats.org/package/2006/metadata/core-properties"/>
    <ds:schemaRef ds:uri="815eeb92-241d-4571-a8b6-3d5f3a10bc97"/>
    <ds:schemaRef ds:uri="http://www.w3.org/XML/1998/namespace"/>
  </ds:schemaRefs>
</ds:datastoreItem>
</file>

<file path=customXml/itemProps2.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80E18F3B-D9A7-47A7-85E8-12DD9D12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328</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2438</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7</cp:revision>
  <cp:lastPrinted>2017-09-20T19:30:00Z</cp:lastPrinted>
  <dcterms:created xsi:type="dcterms:W3CDTF">2017-09-20T19:40:00Z</dcterms:created>
  <dcterms:modified xsi:type="dcterms:W3CDTF">2017-09-29T16:17:00Z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